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BDA12" w14:textId="169CF401" w:rsidR="00A14F93" w:rsidRPr="002A12C9" w:rsidRDefault="00943EA3" w:rsidP="00A24215">
      <w:pPr>
        <w:rPr>
          <w:rFonts w:cs="Arial"/>
          <w:b/>
          <w:bCs/>
          <w:sz w:val="24"/>
          <w:szCs w:val="24"/>
        </w:rPr>
      </w:pPr>
      <w:r w:rsidRPr="002A12C9">
        <w:rPr>
          <w:rFonts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B2F7AC0" wp14:editId="420E39EA">
                <wp:simplePos x="0" y="0"/>
                <wp:positionH relativeFrom="margin">
                  <wp:align>center</wp:align>
                </wp:positionH>
                <wp:positionV relativeFrom="paragraph">
                  <wp:posOffset>429917</wp:posOffset>
                </wp:positionV>
                <wp:extent cx="5600700" cy="1404620"/>
                <wp:effectExtent l="0" t="0" r="19050" b="139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2A755F" w14:textId="59120CE3" w:rsidR="00086741" w:rsidRPr="00A24215" w:rsidRDefault="00086741" w:rsidP="00A24215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 xml:space="preserve">Session at a </w:t>
                            </w:r>
                            <w:r w:rsidR="00B11BF5">
                              <w:rPr>
                                <w:b/>
                                <w:bCs/>
                                <w:u w:val="single"/>
                              </w:rPr>
                              <w:t>G</w:t>
                            </w: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lance</w:t>
                            </w:r>
                          </w:p>
                          <w:p w14:paraId="03550FE8" w14:textId="4540D979" w:rsidR="00492FF4" w:rsidRPr="00C474BA" w:rsidRDefault="009740D5">
                            <w:r>
                              <w:rPr>
                                <w:u w:val="single"/>
                              </w:rPr>
                              <w:t>Session Time</w:t>
                            </w:r>
                            <w:r w:rsidR="00C474BA">
                              <w:rPr>
                                <w:u w:val="single"/>
                              </w:rPr>
                              <w:t>:</w:t>
                            </w:r>
                            <w:r w:rsidR="00C474BA" w:rsidRPr="00C474BA">
                              <w:t xml:space="preserve"> </w:t>
                            </w:r>
                            <w:r w:rsidR="00492FF4">
                              <w:t>10:</w:t>
                            </w:r>
                            <w:r w:rsidR="0006448C">
                              <w:t>45</w:t>
                            </w:r>
                            <w:r w:rsidR="00492FF4">
                              <w:t xml:space="preserve"> am – 12:00 pm</w:t>
                            </w:r>
                          </w:p>
                          <w:p w14:paraId="13F142AD" w14:textId="01A675D5" w:rsidR="00492FF4" w:rsidRPr="00C474BA" w:rsidRDefault="0071425A">
                            <w:r>
                              <w:rPr>
                                <w:u w:val="single"/>
                              </w:rPr>
                              <w:t>Meeting Room</w:t>
                            </w:r>
                            <w:r w:rsidR="00C474BA">
                              <w:rPr>
                                <w:u w:val="single"/>
                              </w:rPr>
                              <w:t>:</w:t>
                            </w:r>
                            <w:r w:rsidR="00C474BA" w:rsidRPr="00C474BA">
                              <w:t xml:space="preserve"> </w:t>
                            </w:r>
                            <w:r w:rsidR="00C71281" w:rsidRPr="00FA2FE2">
                              <w:t>Plenary Room</w:t>
                            </w:r>
                            <w:r w:rsidR="002974FE">
                              <w:t xml:space="preserve"> </w:t>
                            </w:r>
                          </w:p>
                          <w:p w14:paraId="1A7F61BE" w14:textId="7F274D26" w:rsidR="00EC4B17" w:rsidRPr="00A24215" w:rsidRDefault="00527CE4" w:rsidP="00C474BA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Discussion </w:t>
                            </w:r>
                            <w:r w:rsidR="00837A36">
                              <w:rPr>
                                <w:u w:val="single"/>
                              </w:rPr>
                              <w:t>T</w:t>
                            </w:r>
                            <w:r>
                              <w:rPr>
                                <w:u w:val="single"/>
                              </w:rPr>
                              <w:t>opics</w:t>
                            </w:r>
                            <w:r w:rsidR="00C474BA">
                              <w:rPr>
                                <w:u w:val="single"/>
                              </w:rPr>
                              <w:t>:</w:t>
                            </w:r>
                            <w:r w:rsidR="00C474BA" w:rsidRPr="00C474BA">
                              <w:t xml:space="preserve"> </w:t>
                            </w:r>
                            <w:r w:rsidR="000A0824" w:rsidRPr="00C474BA">
                              <w:t xml:space="preserve"> </w:t>
                            </w:r>
                            <w:r w:rsidR="00EC4B17">
                              <w:rPr>
                                <w:rFonts w:cs="Arial"/>
                              </w:rPr>
                              <w:t xml:space="preserve">Approaches to improving labour market outcomes </w:t>
                            </w:r>
                            <w:r w:rsidR="00285876" w:rsidRPr="00285876">
                              <w:rPr>
                                <w:rFonts w:cs="Arial"/>
                              </w:rPr>
                              <w:t xml:space="preserve">considering changing demographics, the needs </w:t>
                            </w:r>
                            <w:r w:rsidR="00002D44">
                              <w:rPr>
                                <w:rFonts w:cs="Arial"/>
                              </w:rPr>
                              <w:t xml:space="preserve">of </w:t>
                            </w:r>
                            <w:r w:rsidR="00EC4B17">
                              <w:rPr>
                                <w:rFonts w:cs="Arial"/>
                              </w:rPr>
                              <w:t>underrepresented and disadvantaged groups and strengthening employee engagement to innovate and improve productivity.</w:t>
                            </w:r>
                          </w:p>
                          <w:p w14:paraId="106E041C" w14:textId="0B2D6F9C" w:rsidR="00943EA3" w:rsidRPr="005D6DBB" w:rsidRDefault="00943EA3" w:rsidP="00E72BC1">
                            <w:pPr>
                              <w:spacing w:after="0" w:line="240" w:lineRule="auto"/>
                              <w:rPr>
                                <w:u w:val="single"/>
                              </w:rPr>
                            </w:pPr>
                            <w:r w:rsidRPr="00943EA3">
                              <w:rPr>
                                <w:u w:val="single"/>
                              </w:rPr>
                              <w:t>Pa</w:t>
                            </w:r>
                            <w:r w:rsidR="00B25287">
                              <w:rPr>
                                <w:u w:val="single"/>
                              </w:rPr>
                              <w:t>nelists</w:t>
                            </w:r>
                            <w:r w:rsidR="00C474BA">
                              <w:rPr>
                                <w:u w:val="single"/>
                              </w:rPr>
                              <w:t>:</w:t>
                            </w:r>
                            <w:r w:rsidR="002A1E78" w:rsidRPr="002A1E78">
                              <w:t xml:space="preserve"> </w:t>
                            </w:r>
                          </w:p>
                          <w:p w14:paraId="300D5E86" w14:textId="77777777" w:rsidR="00194295" w:rsidRPr="00FA2FE2" w:rsidRDefault="00194295" w:rsidP="00361438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cs="Arial"/>
                                <w:bCs/>
                              </w:rPr>
                            </w:pPr>
                            <w:r w:rsidRPr="005D6DBB">
                              <w:rPr>
                                <w:rFonts w:cs="Arial"/>
                                <w:bCs/>
                              </w:rPr>
                              <w:t>Moderator:</w:t>
                            </w:r>
                            <w:r w:rsidRPr="005D6DBB">
                              <w:t xml:space="preserve"> </w:t>
                            </w:r>
                            <w:r w:rsidRPr="005D6DBB">
                              <w:rPr>
                                <w:rFonts w:cs="Arial"/>
                                <w:b/>
                              </w:rPr>
                              <w:t>Melanie Ratnam</w:t>
                            </w:r>
                            <w:r w:rsidRPr="005D6DBB">
                              <w:rPr>
                                <w:rFonts w:cs="Arial"/>
                                <w:bCs/>
                              </w:rPr>
                              <w:t xml:space="preserve">, CEO, Society for Canadian Women in Science and Technology </w:t>
                            </w:r>
                          </w:p>
                          <w:p w14:paraId="5FAEA161" w14:textId="77777777" w:rsidR="00194295" w:rsidRPr="00FA2FE2" w:rsidRDefault="00194295" w:rsidP="00361438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cs="Arial"/>
                                <w:bCs/>
                              </w:rPr>
                            </w:pPr>
                            <w:r w:rsidRPr="005D6DBB">
                              <w:rPr>
                                <w:rFonts w:cs="Arial"/>
                                <w:bCs/>
                              </w:rPr>
                              <w:t xml:space="preserve">Panelist 1: </w:t>
                            </w:r>
                            <w:r w:rsidRPr="005D6DBB">
                              <w:rPr>
                                <w:rFonts w:cs="Arial"/>
                                <w:b/>
                              </w:rPr>
                              <w:t>Mark DeMontis</w:t>
                            </w:r>
                            <w:r w:rsidRPr="005D6DBB">
                              <w:rPr>
                                <w:rFonts w:cs="Arial"/>
                                <w:bCs/>
                              </w:rPr>
                              <w:t xml:space="preserve">, Director of Accessibility and Partnerships, Canadian Council on Rehabilitation and Work (CCRW)  </w:t>
                            </w:r>
                          </w:p>
                          <w:p w14:paraId="1F5E6374" w14:textId="77777777" w:rsidR="00194295" w:rsidRPr="00FA2FE2" w:rsidRDefault="00194295" w:rsidP="00361438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cs="Arial"/>
                                <w:bCs/>
                              </w:rPr>
                            </w:pPr>
                            <w:r w:rsidRPr="005D6DBB">
                              <w:rPr>
                                <w:rFonts w:cs="Arial"/>
                                <w:bCs/>
                              </w:rPr>
                              <w:t xml:space="preserve">Panelist 2: </w:t>
                            </w:r>
                            <w:r w:rsidRPr="005D6DBB">
                              <w:rPr>
                                <w:rFonts w:cs="Arial"/>
                                <w:b/>
                              </w:rPr>
                              <w:t>Wendy Cukier</w:t>
                            </w:r>
                            <w:r w:rsidRPr="005D6DBB">
                              <w:rPr>
                                <w:rFonts w:cs="Arial"/>
                                <w:bCs/>
                              </w:rPr>
                              <w:t>, Founder and Academic Director, Diversity Institute, Toronto Metropolitan University</w:t>
                            </w:r>
                          </w:p>
                          <w:p w14:paraId="21394373" w14:textId="21D2BC3D" w:rsidR="00943EA3" w:rsidRPr="00943EA3" w:rsidRDefault="00194295" w:rsidP="00E72BC1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</w:pPr>
                            <w:r w:rsidRPr="005D6DBB">
                              <w:rPr>
                                <w:rFonts w:cs="Arial"/>
                                <w:bCs/>
                              </w:rPr>
                              <w:t xml:space="preserve">Panelist 3: </w:t>
                            </w:r>
                            <w:r w:rsidRPr="005D6DBB">
                              <w:rPr>
                                <w:rFonts w:cs="Arial"/>
                                <w:b/>
                              </w:rPr>
                              <w:t>Lynn White</w:t>
                            </w:r>
                            <w:r w:rsidRPr="005D6DBB">
                              <w:rPr>
                                <w:rFonts w:cs="Arial"/>
                                <w:bCs/>
                              </w:rPr>
                              <w:t xml:space="preserve">, President and CEO, Aboriginal Community Career Employment Services Society (ACCESS) </w:t>
                            </w:r>
                            <w:r w:rsidR="005415CC" w:rsidRPr="0048370C">
                              <w:rPr>
                                <w:i/>
                                <w:highlight w:val="yellow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B2F7AC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33.85pt;width:441pt;height:110.6pt;z-index:251658240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">
                <v:textbox style="mso-fit-shape-to-text:t">
                  <w:txbxContent>
                    <w:p w14:paraId="512A755F" w14:textId="59120CE3" w:rsidR="00086741" w:rsidRPr="00A24215" w:rsidRDefault="00086741" w:rsidP="00A24215">
                      <w:pPr>
                        <w:jc w:val="center"/>
                        <w:rPr>
                          <w:b/>
                          <w:bCs/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 xml:space="preserve">Session at a </w:t>
                      </w:r>
                      <w:r w:rsidR="00B11BF5">
                        <w:rPr>
                          <w:b/>
                          <w:bCs/>
                          <w:u w:val="single"/>
                        </w:rPr>
                        <w:t>G</w:t>
                      </w:r>
                      <w:r>
                        <w:rPr>
                          <w:b/>
                          <w:bCs/>
                          <w:u w:val="single"/>
                        </w:rPr>
                        <w:t>lance</w:t>
                      </w:r>
                    </w:p>
                    <w:p w14:paraId="03550FE8" w14:textId="4540D979" w:rsidR="00492FF4" w:rsidRPr="00C474BA" w:rsidRDefault="009740D5">
                      <w:r>
                        <w:rPr>
                          <w:u w:val="single"/>
                        </w:rPr>
                        <w:t>Session Time</w:t>
                      </w:r>
                      <w:r w:rsidR="00C474BA">
                        <w:rPr>
                          <w:u w:val="single"/>
                        </w:rPr>
                        <w:t>:</w:t>
                      </w:r>
                      <w:r w:rsidR="00C474BA" w:rsidRPr="00C474BA">
                        <w:t xml:space="preserve"> </w:t>
                      </w:r>
                      <w:r w:rsidR="00492FF4">
                        <w:t>10:</w:t>
                      </w:r>
                      <w:r w:rsidR="0006448C">
                        <w:t>45</w:t>
                      </w:r>
                      <w:r w:rsidR="00492FF4">
                        <w:t xml:space="preserve"> am – 12:00 pm</w:t>
                      </w:r>
                    </w:p>
                    <w:p w14:paraId="13F142AD" w14:textId="01A675D5" w:rsidR="00492FF4" w:rsidRPr="00C474BA" w:rsidRDefault="0071425A">
                      <w:r>
                        <w:rPr>
                          <w:u w:val="single"/>
                        </w:rPr>
                        <w:t>Meeting Room</w:t>
                      </w:r>
                      <w:r w:rsidR="00C474BA">
                        <w:rPr>
                          <w:u w:val="single"/>
                        </w:rPr>
                        <w:t>:</w:t>
                      </w:r>
                      <w:r w:rsidR="00C474BA" w:rsidRPr="00C474BA">
                        <w:t xml:space="preserve"> </w:t>
                      </w:r>
                      <w:r w:rsidR="00C71281" w:rsidRPr="00FA2FE2">
                        <w:t>Plenary Room</w:t>
                      </w:r>
                      <w:r w:rsidR="002974FE">
                        <w:t xml:space="preserve"> </w:t>
                      </w:r>
                    </w:p>
                    <w:p w14:paraId="1A7F61BE" w14:textId="7F274D26" w:rsidR="00EC4B17" w:rsidRPr="00A24215" w:rsidRDefault="00527CE4" w:rsidP="00C474BA">
                      <w:pPr>
                        <w:rPr>
                          <w:i/>
                        </w:rPr>
                      </w:pPr>
                      <w:r>
                        <w:rPr>
                          <w:u w:val="single"/>
                        </w:rPr>
                        <w:t xml:space="preserve">Discussion </w:t>
                      </w:r>
                      <w:r w:rsidR="00837A36">
                        <w:rPr>
                          <w:u w:val="single"/>
                        </w:rPr>
                        <w:t>T</w:t>
                      </w:r>
                      <w:r>
                        <w:rPr>
                          <w:u w:val="single"/>
                        </w:rPr>
                        <w:t>opics</w:t>
                      </w:r>
                      <w:r w:rsidR="00C474BA">
                        <w:rPr>
                          <w:u w:val="single"/>
                        </w:rPr>
                        <w:t>:</w:t>
                      </w:r>
                      <w:r w:rsidR="00C474BA" w:rsidRPr="00C474BA">
                        <w:t xml:space="preserve"> </w:t>
                      </w:r>
                      <w:r w:rsidR="000A0824" w:rsidRPr="00C474BA">
                        <w:t xml:space="preserve"> </w:t>
                      </w:r>
                      <w:r w:rsidR="00EC4B17">
                        <w:rPr>
                          <w:rFonts w:cs="Arial"/>
                        </w:rPr>
                        <w:t xml:space="preserve">Approaches to improving labour market outcomes </w:t>
                      </w:r>
                      <w:r w:rsidR="00285876" w:rsidRPr="00285876">
                        <w:rPr>
                          <w:rFonts w:cs="Arial"/>
                        </w:rPr>
                        <w:t xml:space="preserve">considering changing demographics, the needs </w:t>
                      </w:r>
                      <w:r w:rsidR="00002D44">
                        <w:rPr>
                          <w:rFonts w:cs="Arial"/>
                        </w:rPr>
                        <w:t xml:space="preserve">of </w:t>
                      </w:r>
                      <w:r w:rsidR="00EC4B17">
                        <w:rPr>
                          <w:rFonts w:cs="Arial"/>
                        </w:rPr>
                        <w:t>underrepresented and disadvantaged groups and strengthening employee engagement to innovate and improve productivity.</w:t>
                      </w:r>
                    </w:p>
                    <w:p w14:paraId="106E041C" w14:textId="0B2D6F9C" w:rsidR="00943EA3" w:rsidRPr="005D6DBB" w:rsidRDefault="00943EA3" w:rsidP="00E72BC1">
                      <w:pPr>
                        <w:spacing w:after="0" w:line="240" w:lineRule="auto"/>
                        <w:rPr>
                          <w:u w:val="single"/>
                        </w:rPr>
                      </w:pPr>
                      <w:r w:rsidRPr="00943EA3">
                        <w:rPr>
                          <w:u w:val="single"/>
                        </w:rPr>
                        <w:t>Pa</w:t>
                      </w:r>
                      <w:r w:rsidR="00B25287">
                        <w:rPr>
                          <w:u w:val="single"/>
                        </w:rPr>
                        <w:t>nelists</w:t>
                      </w:r>
                      <w:r w:rsidR="00C474BA">
                        <w:rPr>
                          <w:u w:val="single"/>
                        </w:rPr>
                        <w:t>:</w:t>
                      </w:r>
                      <w:r w:rsidR="002A1E78" w:rsidRPr="002A1E78">
                        <w:t xml:space="preserve"> </w:t>
                      </w:r>
                    </w:p>
                    <w:p w14:paraId="300D5E86" w14:textId="77777777" w:rsidR="00194295" w:rsidRPr="00FA2FE2" w:rsidRDefault="00194295" w:rsidP="00361438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cs="Arial"/>
                          <w:bCs/>
                        </w:rPr>
                      </w:pPr>
                      <w:r w:rsidRPr="005D6DBB">
                        <w:rPr>
                          <w:rFonts w:cs="Arial"/>
                          <w:bCs/>
                        </w:rPr>
                        <w:t>Moderator:</w:t>
                      </w:r>
                      <w:r w:rsidRPr="005D6DBB">
                        <w:t xml:space="preserve"> </w:t>
                      </w:r>
                      <w:r w:rsidRPr="005D6DBB">
                        <w:rPr>
                          <w:rFonts w:cs="Arial"/>
                          <w:b/>
                        </w:rPr>
                        <w:t>Melanie Ratnam</w:t>
                      </w:r>
                      <w:r w:rsidRPr="005D6DBB">
                        <w:rPr>
                          <w:rFonts w:cs="Arial"/>
                          <w:bCs/>
                        </w:rPr>
                        <w:t xml:space="preserve">, CEO, Society for Canadian Women in Science and Technology </w:t>
                      </w:r>
                    </w:p>
                    <w:p w14:paraId="5FAEA161" w14:textId="77777777" w:rsidR="00194295" w:rsidRPr="00FA2FE2" w:rsidRDefault="00194295" w:rsidP="00361438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cs="Arial"/>
                          <w:bCs/>
                        </w:rPr>
                      </w:pPr>
                      <w:r w:rsidRPr="005D6DBB">
                        <w:rPr>
                          <w:rFonts w:cs="Arial"/>
                          <w:bCs/>
                        </w:rPr>
                        <w:t xml:space="preserve">Panelist 1: </w:t>
                      </w:r>
                      <w:r w:rsidRPr="005D6DBB">
                        <w:rPr>
                          <w:rFonts w:cs="Arial"/>
                          <w:b/>
                        </w:rPr>
                        <w:t>Mark DeMontis</w:t>
                      </w:r>
                      <w:r w:rsidRPr="005D6DBB">
                        <w:rPr>
                          <w:rFonts w:cs="Arial"/>
                          <w:bCs/>
                        </w:rPr>
                        <w:t xml:space="preserve">, Director of Accessibility and Partnerships, Canadian Council on Rehabilitation and Work (CCRW)  </w:t>
                      </w:r>
                    </w:p>
                    <w:p w14:paraId="1F5E6374" w14:textId="77777777" w:rsidR="00194295" w:rsidRPr="00FA2FE2" w:rsidRDefault="00194295" w:rsidP="00361438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cs="Arial"/>
                          <w:bCs/>
                        </w:rPr>
                      </w:pPr>
                      <w:r w:rsidRPr="005D6DBB">
                        <w:rPr>
                          <w:rFonts w:cs="Arial"/>
                          <w:bCs/>
                        </w:rPr>
                        <w:t xml:space="preserve">Panelist 2: </w:t>
                      </w:r>
                      <w:r w:rsidRPr="005D6DBB">
                        <w:rPr>
                          <w:rFonts w:cs="Arial"/>
                          <w:b/>
                        </w:rPr>
                        <w:t>Wendy Cukier</w:t>
                      </w:r>
                      <w:r w:rsidRPr="005D6DBB">
                        <w:rPr>
                          <w:rFonts w:cs="Arial"/>
                          <w:bCs/>
                        </w:rPr>
                        <w:t>, Founder and Academic Director, Diversity Institute, Toronto Metropolitan University</w:t>
                      </w:r>
                    </w:p>
                    <w:p w14:paraId="21394373" w14:textId="21D2BC3D" w:rsidR="00943EA3" w:rsidRPr="00943EA3" w:rsidRDefault="00194295" w:rsidP="00E72BC1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after="0" w:line="240" w:lineRule="auto"/>
                      </w:pPr>
                      <w:r w:rsidRPr="005D6DBB">
                        <w:rPr>
                          <w:rFonts w:cs="Arial"/>
                          <w:bCs/>
                        </w:rPr>
                        <w:t xml:space="preserve">Panelist 3: </w:t>
                      </w:r>
                      <w:r w:rsidRPr="005D6DBB">
                        <w:rPr>
                          <w:rFonts w:cs="Arial"/>
                          <w:b/>
                        </w:rPr>
                        <w:t>Lynn White</w:t>
                      </w:r>
                      <w:r w:rsidRPr="005D6DBB">
                        <w:rPr>
                          <w:rFonts w:cs="Arial"/>
                          <w:bCs/>
                        </w:rPr>
                        <w:t xml:space="preserve">, President and CEO, Aboriginal Community Career Employment Services Society (ACCESS) </w:t>
                      </w:r>
                      <w:r w:rsidR="005415CC" w:rsidRPr="0048370C">
                        <w:rPr>
                          <w:i/>
                          <w:highlight w:val="yellow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71281">
        <w:rPr>
          <w:rFonts w:cs="Arial"/>
          <w:b/>
          <w:bCs/>
          <w:sz w:val="24"/>
          <w:szCs w:val="24"/>
        </w:rPr>
        <w:t xml:space="preserve">Breakout </w:t>
      </w:r>
      <w:r w:rsidR="000D68BC">
        <w:rPr>
          <w:rFonts w:cs="Arial"/>
          <w:b/>
          <w:bCs/>
          <w:sz w:val="24"/>
          <w:szCs w:val="24"/>
        </w:rPr>
        <w:t>3</w:t>
      </w:r>
      <w:r w:rsidRPr="002A12C9">
        <w:rPr>
          <w:rFonts w:cs="Arial"/>
          <w:b/>
          <w:bCs/>
          <w:sz w:val="24"/>
          <w:szCs w:val="24"/>
        </w:rPr>
        <w:t xml:space="preserve"> - </w:t>
      </w:r>
      <w:r w:rsidR="0048370C" w:rsidRPr="0048370C">
        <w:rPr>
          <w:rFonts w:cs="Arial"/>
          <w:b/>
          <w:bCs/>
          <w:sz w:val="24"/>
          <w:szCs w:val="24"/>
        </w:rPr>
        <w:t xml:space="preserve">Demographic Shifts </w:t>
      </w:r>
      <w:r w:rsidR="0048370C">
        <w:rPr>
          <w:rFonts w:cs="Arial"/>
          <w:b/>
          <w:bCs/>
          <w:sz w:val="24"/>
          <w:szCs w:val="24"/>
        </w:rPr>
        <w:t xml:space="preserve">and </w:t>
      </w:r>
      <w:r w:rsidR="00E404DC" w:rsidRPr="00E404DC">
        <w:rPr>
          <w:rFonts w:cs="Arial"/>
          <w:b/>
          <w:bCs/>
          <w:sz w:val="24"/>
          <w:szCs w:val="24"/>
        </w:rPr>
        <w:t>Diversity and Inclusion – Maximizing Labour Force Participation</w:t>
      </w:r>
    </w:p>
    <w:p w14:paraId="1F69183C" w14:textId="4F8966AF" w:rsidR="00943EA3" w:rsidRPr="002A12C9" w:rsidRDefault="000E3CE9" w:rsidP="32CB82DF">
      <w:pPr>
        <w:spacing w:before="360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Key Issues</w:t>
      </w:r>
    </w:p>
    <w:p w14:paraId="2393926D" w14:textId="5B655AA8" w:rsidR="00FF4892" w:rsidRDefault="00FF4892" w:rsidP="00A24215">
      <w:pPr>
        <w:pStyle w:val="ListParagraph"/>
        <w:numPr>
          <w:ilvl w:val="0"/>
          <w:numId w:val="8"/>
        </w:numPr>
        <w:rPr>
          <w:rFonts w:cs="Arial"/>
          <w:sz w:val="24"/>
          <w:szCs w:val="24"/>
        </w:rPr>
      </w:pPr>
      <w:r w:rsidRPr="00C474BA">
        <w:rPr>
          <w:rFonts w:cs="Arial"/>
          <w:sz w:val="24"/>
          <w:szCs w:val="24"/>
        </w:rPr>
        <w:t>Employment and unemployment rates vary across demographic groups.</w:t>
      </w:r>
      <w:r w:rsidR="00D260BB">
        <w:rPr>
          <w:rFonts w:cs="Arial"/>
          <w:sz w:val="24"/>
          <w:szCs w:val="24"/>
        </w:rPr>
        <w:t xml:space="preserve"> </w:t>
      </w:r>
      <w:r w:rsidR="00D260BB" w:rsidRPr="007C2BAB">
        <w:rPr>
          <w:rFonts w:cs="Arial"/>
          <w:sz w:val="24"/>
          <w:szCs w:val="24"/>
        </w:rPr>
        <w:t>For example, if women 55+ participated at the same rate as their men counterparts, this could potentially add over 500,000 people to the labour force.</w:t>
      </w:r>
    </w:p>
    <w:p w14:paraId="4AA573DC" w14:textId="6DF819C2" w:rsidR="00AE2B68" w:rsidRDefault="00DF6F35" w:rsidP="00D1382E">
      <w:pPr>
        <w:pStyle w:val="ListParagraph"/>
        <w:numPr>
          <w:ilvl w:val="0"/>
          <w:numId w:val="8"/>
        </w:numPr>
        <w:rPr>
          <w:rFonts w:cs="Arial"/>
          <w:sz w:val="24"/>
          <w:szCs w:val="24"/>
        </w:rPr>
      </w:pPr>
      <w:r w:rsidRPr="00DF6F35">
        <w:rPr>
          <w:rFonts w:cs="Arial"/>
          <w:sz w:val="24"/>
          <w:szCs w:val="24"/>
        </w:rPr>
        <w:t>While racialized individuals are more likely to pursue a university education, their employment income is lower than non-racialized and non-Indigenous graduates.</w:t>
      </w:r>
    </w:p>
    <w:p w14:paraId="41F99ED3" w14:textId="1E4997B1" w:rsidR="005E7BC4" w:rsidRDefault="005E7BC4" w:rsidP="00D1382E">
      <w:pPr>
        <w:pStyle w:val="ListParagraph"/>
        <w:numPr>
          <w:ilvl w:val="0"/>
          <w:numId w:val="8"/>
        </w:numPr>
        <w:rPr>
          <w:rFonts w:cs="Arial"/>
          <w:sz w:val="24"/>
          <w:szCs w:val="24"/>
        </w:rPr>
      </w:pPr>
      <w:r w:rsidRPr="00C474BA">
        <w:rPr>
          <w:rFonts w:cs="Arial"/>
          <w:sz w:val="24"/>
          <w:szCs w:val="24"/>
        </w:rPr>
        <w:t>There is a continued need for focused attention on removing barriers to employment outcomes for persons with disabilities.</w:t>
      </w:r>
      <w:r w:rsidR="00B04D57" w:rsidRPr="00B04D57">
        <w:t xml:space="preserve"> </w:t>
      </w:r>
      <w:r w:rsidR="00B04D57">
        <w:rPr>
          <w:rFonts w:cs="Arial"/>
          <w:sz w:val="24"/>
          <w:szCs w:val="24"/>
        </w:rPr>
        <w:t>As of</w:t>
      </w:r>
      <w:r w:rsidR="00B04D57" w:rsidRPr="00B04D57">
        <w:rPr>
          <w:rFonts w:cs="Arial"/>
          <w:sz w:val="24"/>
          <w:szCs w:val="24"/>
        </w:rPr>
        <w:t xml:space="preserve"> 2022</w:t>
      </w:r>
      <w:r w:rsidR="00B04D57">
        <w:rPr>
          <w:rFonts w:cs="Arial"/>
          <w:sz w:val="24"/>
          <w:szCs w:val="24"/>
        </w:rPr>
        <w:t>,</w:t>
      </w:r>
      <w:r w:rsidR="00B04D57" w:rsidRPr="00B04D57">
        <w:rPr>
          <w:rFonts w:cs="Arial"/>
          <w:sz w:val="24"/>
          <w:szCs w:val="24"/>
        </w:rPr>
        <w:t xml:space="preserve"> over 1 million persons with disabilities aged 15 to 64, have potential for paid employment in an inclusive, accessible and accommodating labour market. </w:t>
      </w:r>
    </w:p>
    <w:p w14:paraId="41313F67" w14:textId="73BBFF45" w:rsidR="00D814CB" w:rsidRDefault="00D814CB" w:rsidP="00D1382E">
      <w:pPr>
        <w:pStyle w:val="ListParagraph"/>
        <w:numPr>
          <w:ilvl w:val="0"/>
          <w:numId w:val="8"/>
        </w:numPr>
        <w:rPr>
          <w:rFonts w:cs="Arial"/>
          <w:sz w:val="24"/>
          <w:szCs w:val="24"/>
        </w:rPr>
      </w:pPr>
      <w:r w:rsidRPr="00D814CB">
        <w:rPr>
          <w:rFonts w:cs="Arial"/>
          <w:sz w:val="24"/>
          <w:szCs w:val="24"/>
        </w:rPr>
        <w:t>The 2SLGBTQI+ community also faces unique barriers to employment.</w:t>
      </w:r>
      <w:r w:rsidR="00257D89">
        <w:rPr>
          <w:rFonts w:cs="Arial"/>
          <w:sz w:val="24"/>
          <w:szCs w:val="24"/>
        </w:rPr>
        <w:t xml:space="preserve"> Add an example…</w:t>
      </w:r>
    </w:p>
    <w:p w14:paraId="1FF3E266" w14:textId="6A96B8F4" w:rsidR="009C337C" w:rsidRPr="00FA2FE2" w:rsidRDefault="00F44C0E" w:rsidP="00E72BC1">
      <w:pPr>
        <w:pStyle w:val="ListParagraph"/>
        <w:numPr>
          <w:ilvl w:val="0"/>
          <w:numId w:val="8"/>
        </w:numPr>
        <w:rPr>
          <w:rFonts w:cs="Arial"/>
          <w:b/>
          <w:bCs/>
        </w:rPr>
      </w:pPr>
      <w:r>
        <w:rPr>
          <w:rFonts w:cs="Arial"/>
          <w:sz w:val="24"/>
          <w:szCs w:val="24"/>
        </w:rPr>
        <w:t xml:space="preserve">For youth at risk of disengaging from their education and the labour market, intervening early before they become NEET (not in education, employment or training) is key. </w:t>
      </w:r>
    </w:p>
    <w:p w14:paraId="7F6C9D7B" w14:textId="6A41206B" w:rsidR="00F147FD" w:rsidRDefault="00F147FD" w:rsidP="002A12C9">
      <w:pPr>
        <w:rPr>
          <w:rFonts w:cs="Arial"/>
          <w:b/>
          <w:bCs/>
          <w:sz w:val="24"/>
          <w:szCs w:val="24"/>
        </w:rPr>
      </w:pPr>
      <w:r w:rsidRPr="002A12C9">
        <w:rPr>
          <w:rFonts w:cs="Arial"/>
          <w:b/>
          <w:bCs/>
          <w:sz w:val="24"/>
          <w:szCs w:val="24"/>
        </w:rPr>
        <w:t xml:space="preserve">Government </w:t>
      </w:r>
      <w:r w:rsidR="002A12C9">
        <w:rPr>
          <w:rFonts w:cs="Arial"/>
          <w:b/>
          <w:bCs/>
          <w:sz w:val="24"/>
          <w:szCs w:val="24"/>
        </w:rPr>
        <w:t>Action</w:t>
      </w:r>
    </w:p>
    <w:p w14:paraId="009E9DF8" w14:textId="38D2C19C" w:rsidR="00622100" w:rsidRPr="00622100" w:rsidRDefault="00622100" w:rsidP="00622100">
      <w:pPr>
        <w:pStyle w:val="ListParagraph"/>
        <w:numPr>
          <w:ilvl w:val="0"/>
          <w:numId w:val="8"/>
        </w:numPr>
        <w:rPr>
          <w:rFonts w:cs="Arial"/>
          <w:b/>
          <w:bCs/>
          <w:sz w:val="24"/>
          <w:szCs w:val="24"/>
        </w:rPr>
      </w:pPr>
      <w:r w:rsidRPr="00622100">
        <w:rPr>
          <w:rFonts w:cs="Arial"/>
          <w:sz w:val="24"/>
          <w:szCs w:val="24"/>
        </w:rPr>
        <w:t xml:space="preserve">In July 2024, Minister Khera announced </w:t>
      </w:r>
      <w:r w:rsidR="00D66334">
        <w:rPr>
          <w:rFonts w:cs="Arial"/>
          <w:sz w:val="24"/>
          <w:szCs w:val="24"/>
        </w:rPr>
        <w:t>the Government’s</w:t>
      </w:r>
      <w:r w:rsidRPr="00622100">
        <w:rPr>
          <w:rFonts w:cs="Arial"/>
          <w:sz w:val="24"/>
          <w:szCs w:val="24"/>
        </w:rPr>
        <w:t xml:space="preserve"> Employment Strategy for </w:t>
      </w:r>
      <w:r w:rsidR="00D66334" w:rsidRPr="00D2264A">
        <w:rPr>
          <w:rFonts w:cs="Arial"/>
          <w:sz w:val="24"/>
          <w:szCs w:val="24"/>
        </w:rPr>
        <w:t>Persons with Disabilities</w:t>
      </w:r>
      <w:r w:rsidR="00D66334">
        <w:rPr>
          <w:rFonts w:cs="Arial"/>
          <w:sz w:val="24"/>
          <w:szCs w:val="24"/>
        </w:rPr>
        <w:t>.</w:t>
      </w:r>
    </w:p>
    <w:p w14:paraId="321B4412" w14:textId="30A4FC20" w:rsidR="003F0722" w:rsidRPr="00E72BC1" w:rsidRDefault="003F0722" w:rsidP="003F0722">
      <w:pPr>
        <w:pStyle w:val="ListParagraph"/>
        <w:numPr>
          <w:ilvl w:val="0"/>
          <w:numId w:val="8"/>
        </w:numPr>
        <w:rPr>
          <w:rFonts w:cs="Arial"/>
          <w:b/>
          <w:sz w:val="24"/>
          <w:szCs w:val="24"/>
        </w:rPr>
      </w:pPr>
      <w:r>
        <w:rPr>
          <w:rFonts w:cs="Arial"/>
          <w:sz w:val="24"/>
          <w:szCs w:val="24"/>
        </w:rPr>
        <w:t xml:space="preserve">The </w:t>
      </w:r>
      <w:r w:rsidRPr="00D2264A">
        <w:rPr>
          <w:rFonts w:cs="Arial"/>
          <w:sz w:val="24"/>
          <w:szCs w:val="24"/>
        </w:rPr>
        <w:t>Opportunities Funds (OF) for Persons with Disabilities</w:t>
      </w:r>
      <w:r w:rsidR="0024436A">
        <w:rPr>
          <w:rFonts w:cs="Arial"/>
          <w:sz w:val="24"/>
          <w:szCs w:val="24"/>
        </w:rPr>
        <w:t xml:space="preserve"> is</w:t>
      </w:r>
      <w:r>
        <w:rPr>
          <w:rFonts w:cs="Arial"/>
          <w:sz w:val="24"/>
          <w:szCs w:val="24"/>
        </w:rPr>
        <w:t xml:space="preserve"> the key vehicle to implement the Employment Strategy</w:t>
      </w:r>
      <w:r w:rsidR="0024436A">
        <w:rPr>
          <w:rFonts w:cs="Arial"/>
          <w:sz w:val="24"/>
          <w:szCs w:val="24"/>
        </w:rPr>
        <w:t xml:space="preserve">. It </w:t>
      </w:r>
      <w:r>
        <w:rPr>
          <w:rFonts w:cs="Arial"/>
          <w:sz w:val="24"/>
          <w:szCs w:val="24"/>
        </w:rPr>
        <w:t>provides supports to both persons with disabilities and employers i</w:t>
      </w:r>
      <w:r w:rsidRPr="00F07730">
        <w:rPr>
          <w:rFonts w:cs="Arial"/>
          <w:sz w:val="24"/>
          <w:szCs w:val="24"/>
        </w:rPr>
        <w:t>ncluding job search supports, pre-employability services, wage subsidies, work placements and employer awareness initiatives</w:t>
      </w:r>
      <w:r>
        <w:rPr>
          <w:rFonts w:cs="Arial"/>
          <w:sz w:val="24"/>
          <w:szCs w:val="24"/>
        </w:rPr>
        <w:t xml:space="preserve">. </w:t>
      </w:r>
    </w:p>
    <w:p w14:paraId="7DCB2E02" w14:textId="77777777" w:rsidR="00272D9B" w:rsidRDefault="00272D9B" w:rsidP="00272D9B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lastRenderedPageBreak/>
        <w:t>On September 26</w:t>
      </w:r>
      <w:r w:rsidRPr="00C474BA">
        <w:rPr>
          <w:rFonts w:cs="Arial"/>
          <w:sz w:val="24"/>
          <w:szCs w:val="24"/>
          <w:vertAlign w:val="superscript"/>
        </w:rPr>
        <w:t>th</w:t>
      </w:r>
      <w:r>
        <w:rPr>
          <w:rFonts w:cs="Arial"/>
          <w:sz w:val="24"/>
          <w:szCs w:val="24"/>
        </w:rPr>
        <w:t>, restrictions come into effect for the Low-Wage stream of the Temporary Foreign Worker program.</w:t>
      </w:r>
    </w:p>
    <w:p w14:paraId="0C71B6DA" w14:textId="1EAE40BA" w:rsidR="00272D9B" w:rsidRDefault="00272D9B" w:rsidP="00272D9B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Budget 2024 announced an additional two years of funding for the </w:t>
      </w:r>
      <w:r>
        <w:rPr>
          <w:rFonts w:cs="Arial"/>
          <w:i/>
          <w:iCs/>
          <w:sz w:val="24"/>
          <w:szCs w:val="24"/>
        </w:rPr>
        <w:t xml:space="preserve">Supports for Student Learning Program, </w:t>
      </w:r>
      <w:r w:rsidRPr="005F5510">
        <w:rPr>
          <w:rFonts w:cs="Arial"/>
          <w:sz w:val="24"/>
          <w:szCs w:val="24"/>
        </w:rPr>
        <w:t xml:space="preserve">which provides funding to organizations who deliver wrap-around supports to equity-deserving students so they can </w:t>
      </w:r>
      <w:r>
        <w:rPr>
          <w:rFonts w:cs="Arial"/>
          <w:sz w:val="24"/>
          <w:szCs w:val="24"/>
        </w:rPr>
        <w:t>remain engaged in</w:t>
      </w:r>
      <w:r w:rsidRPr="005F5510">
        <w:rPr>
          <w:rFonts w:cs="Arial"/>
          <w:sz w:val="24"/>
          <w:szCs w:val="24"/>
        </w:rPr>
        <w:t xml:space="preserve"> education and achieve labour market success. </w:t>
      </w:r>
      <w:r>
        <w:rPr>
          <w:rFonts w:cs="Arial"/>
          <w:sz w:val="24"/>
          <w:szCs w:val="24"/>
        </w:rPr>
        <w:t xml:space="preserve">The program targets youth before they become NEET, thereby smoothing the transition from school to employment for youth at risk of disengaging. </w:t>
      </w:r>
    </w:p>
    <w:p w14:paraId="4876366C" w14:textId="5B7DC73F" w:rsidR="00272D9B" w:rsidRPr="00E72BC1" w:rsidRDefault="00272D9B" w:rsidP="00E72BC1">
      <w:pPr>
        <w:pStyle w:val="ListParagraph"/>
        <w:numPr>
          <w:ilvl w:val="0"/>
          <w:numId w:val="10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Other Government Programs:</w:t>
      </w:r>
    </w:p>
    <w:p w14:paraId="333455AC" w14:textId="77777777" w:rsidR="0022783A" w:rsidRDefault="0022783A" w:rsidP="00E72BC1">
      <w:pPr>
        <w:pStyle w:val="ListParagraph"/>
        <w:numPr>
          <w:ilvl w:val="0"/>
          <w:numId w:val="16"/>
        </w:numPr>
        <w:ind w:left="993" w:hanging="284"/>
        <w:rPr>
          <w:rFonts w:cs="Arial"/>
          <w:sz w:val="24"/>
          <w:szCs w:val="24"/>
        </w:rPr>
      </w:pPr>
      <w:r w:rsidRPr="0022783A">
        <w:rPr>
          <w:rFonts w:cs="Arial"/>
          <w:sz w:val="24"/>
          <w:szCs w:val="24"/>
        </w:rPr>
        <w:t xml:space="preserve">Indigenous Services Canada provides funding and supports through distinctions-based Post-Secondary Education Strategies for First Nations, Inuit and the Métis Nation. </w:t>
      </w:r>
    </w:p>
    <w:p w14:paraId="2AAE5F3E" w14:textId="7731F10C" w:rsidR="0022783A" w:rsidRPr="00FA2FE2" w:rsidRDefault="00E577C1" w:rsidP="00E577C1">
      <w:pPr>
        <w:pStyle w:val="ListParagraph"/>
        <w:numPr>
          <w:ilvl w:val="1"/>
          <w:numId w:val="8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Budget 2024 announced </w:t>
      </w:r>
      <w:r>
        <w:rPr>
          <w:rStyle w:val="ui-provider"/>
          <w:sz w:val="24"/>
          <w:szCs w:val="24"/>
        </w:rPr>
        <w:t>$242.7 million over three years, starting in 2024-25, for access to post-secondary education for First Nations students through the Post-Secondary Student Support Program.</w:t>
      </w:r>
    </w:p>
    <w:p w14:paraId="37227E95" w14:textId="2EA626E2" w:rsidR="00701736" w:rsidRPr="00867E7C" w:rsidRDefault="006F0159" w:rsidP="00E72BC1">
      <w:pPr>
        <w:pStyle w:val="ListParagraph"/>
        <w:numPr>
          <w:ilvl w:val="0"/>
          <w:numId w:val="16"/>
        </w:numPr>
        <w:ind w:left="993" w:hanging="284"/>
        <w:rPr>
          <w:rFonts w:cs="Arial"/>
          <w:sz w:val="24"/>
          <w:szCs w:val="24"/>
        </w:rPr>
      </w:pPr>
      <w:r w:rsidRPr="00867E7C">
        <w:rPr>
          <w:rFonts w:cs="Arial"/>
          <w:sz w:val="24"/>
          <w:szCs w:val="24"/>
        </w:rPr>
        <w:t>The ISET Program launched in 2019 and funded at $2 billion over five years, is distinctions-based and supports a network of over 115 Indigenous service providers across Canada. It was co-developed with and designed to support First Nations, Inuit, Métis, and Urban/Non-affiliated Indigenous people to improve their skills and work towards their long-term career goals.</w:t>
      </w:r>
    </w:p>
    <w:p w14:paraId="54156858" w14:textId="35FBE0EA" w:rsidR="00BC0F18" w:rsidRDefault="00BC0F18" w:rsidP="00943EA3">
      <w:pPr>
        <w:rPr>
          <w:rFonts w:cs="Arial"/>
          <w:b/>
          <w:bCs/>
          <w:sz w:val="24"/>
          <w:szCs w:val="24"/>
        </w:rPr>
      </w:pPr>
      <w:r w:rsidRPr="002A12C9">
        <w:rPr>
          <w:rFonts w:cs="Arial"/>
          <w:b/>
          <w:bCs/>
          <w:sz w:val="24"/>
          <w:szCs w:val="24"/>
        </w:rPr>
        <w:t>Points to Register</w:t>
      </w:r>
    </w:p>
    <w:p w14:paraId="56EAF9D7" w14:textId="0D5178DC" w:rsidR="008C0E5D" w:rsidRPr="00042024" w:rsidRDefault="008C0E5D" w:rsidP="00FA2FE2">
      <w:pPr>
        <w:pStyle w:val="Heading3"/>
        <w:numPr>
          <w:ilvl w:val="0"/>
          <w:numId w:val="9"/>
        </w:numPr>
        <w:spacing w:before="240" w:line="276" w:lineRule="auto"/>
        <w:rPr>
          <w:rFonts w:cs="Arial"/>
        </w:rPr>
      </w:pPr>
      <w:r w:rsidRPr="003F146F">
        <w:rPr>
          <w:rFonts w:ascii="Arial" w:eastAsiaTheme="minorHAnsi" w:hAnsi="Arial" w:cs="Arial"/>
          <w:color w:val="auto"/>
        </w:rPr>
        <w:t>Immigration has become the main driver of population and labour force growth</w:t>
      </w:r>
      <w:r>
        <w:rPr>
          <w:rFonts w:ascii="Arial" w:eastAsiaTheme="minorHAnsi" w:hAnsi="Arial" w:cs="Arial"/>
          <w:color w:val="auto"/>
        </w:rPr>
        <w:t xml:space="preserve">. </w:t>
      </w:r>
      <w:r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However, core-aged very recent immigrants (in Canada for five years or less) are still more likely to be unemployed than their Canadian-born counterparts (8% versus 4% in 2023).</w:t>
      </w:r>
    </w:p>
    <w:p w14:paraId="2EE4FF97" w14:textId="71B8BB01" w:rsidR="005B53EF" w:rsidRPr="00C474BA" w:rsidRDefault="005B53EF" w:rsidP="00800CE7">
      <w:pPr>
        <w:pStyle w:val="ListParagraph"/>
        <w:numPr>
          <w:ilvl w:val="0"/>
          <w:numId w:val="9"/>
        </w:numPr>
        <w:rPr>
          <w:rFonts w:cs="Arial"/>
          <w:b/>
          <w:sz w:val="24"/>
          <w:szCs w:val="24"/>
        </w:rPr>
      </w:pPr>
      <w:r w:rsidRPr="00E059CD">
        <w:rPr>
          <w:rFonts w:cs="Arial"/>
          <w:bCs/>
          <w:sz w:val="24"/>
          <w:szCs w:val="24"/>
        </w:rPr>
        <w:t>Between 2019 and 2023, the participation rate for core-aged women with youngest children under 6 years old increased by 3.8 p</w:t>
      </w:r>
      <w:r>
        <w:rPr>
          <w:rFonts w:cs="Arial"/>
          <w:bCs/>
          <w:sz w:val="24"/>
          <w:szCs w:val="24"/>
        </w:rPr>
        <w:t xml:space="preserve">ercentage </w:t>
      </w:r>
      <w:r w:rsidRPr="00E059CD">
        <w:rPr>
          <w:rFonts w:cs="Arial"/>
          <w:bCs/>
          <w:sz w:val="24"/>
          <w:szCs w:val="24"/>
        </w:rPr>
        <w:t>p</w:t>
      </w:r>
      <w:r>
        <w:rPr>
          <w:rFonts w:cs="Arial"/>
          <w:bCs/>
          <w:sz w:val="24"/>
          <w:szCs w:val="24"/>
        </w:rPr>
        <w:t>oints</w:t>
      </w:r>
      <w:r w:rsidRPr="00E059CD">
        <w:rPr>
          <w:rFonts w:cs="Arial"/>
          <w:bCs/>
          <w:sz w:val="24"/>
          <w:szCs w:val="24"/>
        </w:rPr>
        <w:t xml:space="preserve"> to 79.7%, representing over 51,000 additional women joining the labour force.</w:t>
      </w:r>
    </w:p>
    <w:p w14:paraId="6938C488" w14:textId="207DECE8" w:rsidR="00284AFF" w:rsidRPr="00C474BA" w:rsidRDefault="00284AFF" w:rsidP="00FA2FE2">
      <w:pPr>
        <w:pStyle w:val="ListParagraph"/>
        <w:numPr>
          <w:ilvl w:val="1"/>
          <w:numId w:val="9"/>
        </w:numPr>
        <w:rPr>
          <w:rFonts w:cs="Arial"/>
          <w:b/>
          <w:sz w:val="24"/>
          <w:szCs w:val="24"/>
        </w:rPr>
      </w:pPr>
      <w:r w:rsidRPr="00685D4D">
        <w:rPr>
          <w:rFonts w:cs="Arial"/>
          <w:bCs/>
          <w:sz w:val="24"/>
          <w:szCs w:val="24"/>
        </w:rPr>
        <w:t>Following the pandemic, nearly 140,000 women left jobs in high-contact sectors, with many seeking roles in low-contact industries</w:t>
      </w:r>
      <w:r w:rsidR="003B2691">
        <w:rPr>
          <w:rFonts w:cs="Arial"/>
          <w:bCs/>
          <w:sz w:val="24"/>
          <w:szCs w:val="24"/>
        </w:rPr>
        <w:t xml:space="preserve">. </w:t>
      </w:r>
      <w:r w:rsidRPr="00685D4D">
        <w:rPr>
          <w:rFonts w:cs="Arial"/>
          <w:bCs/>
          <w:sz w:val="24"/>
          <w:szCs w:val="24"/>
        </w:rPr>
        <w:t>This marks a shift from traditionally lower</w:t>
      </w:r>
      <w:r>
        <w:rPr>
          <w:rFonts w:cs="Arial"/>
          <w:bCs/>
          <w:sz w:val="24"/>
          <w:szCs w:val="24"/>
        </w:rPr>
        <w:t>-</w:t>
      </w:r>
      <w:r w:rsidRPr="00685D4D">
        <w:rPr>
          <w:rFonts w:cs="Arial"/>
          <w:bCs/>
          <w:sz w:val="24"/>
          <w:szCs w:val="24"/>
        </w:rPr>
        <w:t xml:space="preserve">productive and </w:t>
      </w:r>
      <w:r>
        <w:rPr>
          <w:rFonts w:cs="Arial"/>
          <w:bCs/>
          <w:sz w:val="24"/>
          <w:szCs w:val="24"/>
        </w:rPr>
        <w:t>lower-</w:t>
      </w:r>
      <w:r w:rsidRPr="00685D4D">
        <w:rPr>
          <w:rFonts w:cs="Arial"/>
          <w:bCs/>
          <w:sz w:val="24"/>
          <w:szCs w:val="24"/>
        </w:rPr>
        <w:t>paying sectors into higher ones. This added $9 billion to household income for women and accounted for 15% of the total boost in their income during the pandemic recovery.</w:t>
      </w:r>
    </w:p>
    <w:p w14:paraId="64F45362" w14:textId="19D7317D" w:rsidR="005B53EF" w:rsidRDefault="00B16051" w:rsidP="00800CE7">
      <w:pPr>
        <w:pStyle w:val="ListParagraph"/>
        <w:numPr>
          <w:ilvl w:val="0"/>
          <w:numId w:val="9"/>
        </w:numPr>
        <w:rPr>
          <w:rFonts w:cs="Arial"/>
          <w:bCs/>
          <w:sz w:val="24"/>
          <w:szCs w:val="24"/>
        </w:rPr>
      </w:pPr>
      <w:r w:rsidRPr="00C474BA">
        <w:rPr>
          <w:rFonts w:cs="Arial"/>
          <w:bCs/>
          <w:sz w:val="24"/>
          <w:szCs w:val="24"/>
        </w:rPr>
        <w:t>Between 2016 and 2021, the Indigenous population grew by 9.4% compared to the non-Indigenous population (5.3%)</w:t>
      </w:r>
      <w:r w:rsidR="009A6EB6" w:rsidRPr="004953BE">
        <w:rPr>
          <w:rFonts w:cs="Arial"/>
          <w:bCs/>
          <w:sz w:val="24"/>
          <w:szCs w:val="24"/>
        </w:rPr>
        <w:t>, yet their participation in the labour force continued to remain below that of their non-Indigenous peers (59.5% vs. 63.9%).</w:t>
      </w:r>
    </w:p>
    <w:p w14:paraId="291A7C0F" w14:textId="5B2AD31E" w:rsidR="00132BE2" w:rsidRPr="00FA2FE2" w:rsidRDefault="00132BE2" w:rsidP="00132BE2">
      <w:pPr>
        <w:pStyle w:val="ListParagraph"/>
        <w:numPr>
          <w:ilvl w:val="0"/>
          <w:numId w:val="9"/>
        </w:numPr>
        <w:rPr>
          <w:rFonts w:cs="Arial"/>
          <w:bCs/>
          <w:sz w:val="24"/>
          <w:szCs w:val="24"/>
        </w:rPr>
      </w:pPr>
      <w:r w:rsidRPr="00F7452C">
        <w:rPr>
          <w:rFonts w:cs="Arial"/>
          <w:bCs/>
          <w:sz w:val="24"/>
          <w:szCs w:val="24"/>
        </w:rPr>
        <w:t xml:space="preserve">Between 2017 and 2022, the </w:t>
      </w:r>
      <w:r w:rsidRPr="003A0BA4">
        <w:rPr>
          <w:rFonts w:cs="Arial"/>
          <w:bCs/>
          <w:sz w:val="24"/>
          <w:szCs w:val="24"/>
        </w:rPr>
        <w:t xml:space="preserve">employment rate </w:t>
      </w:r>
      <w:r w:rsidRPr="00F7452C">
        <w:rPr>
          <w:rFonts w:cs="Arial"/>
          <w:bCs/>
          <w:sz w:val="24"/>
          <w:szCs w:val="24"/>
        </w:rPr>
        <w:t xml:space="preserve">for working aged (25-64) persons with disabilities </w:t>
      </w:r>
      <w:r w:rsidRPr="003A0BA4">
        <w:rPr>
          <w:rFonts w:cs="Arial"/>
          <w:bCs/>
          <w:sz w:val="24"/>
          <w:szCs w:val="24"/>
        </w:rPr>
        <w:t>rose 3 percentage points</w:t>
      </w:r>
      <w:r w:rsidRPr="00F7452C">
        <w:rPr>
          <w:rFonts w:cs="Arial"/>
          <w:bCs/>
          <w:sz w:val="24"/>
          <w:szCs w:val="24"/>
        </w:rPr>
        <w:t>, from 59% to 62%</w:t>
      </w:r>
      <w:r>
        <w:rPr>
          <w:rFonts w:cs="Arial"/>
          <w:bCs/>
          <w:sz w:val="24"/>
          <w:szCs w:val="24"/>
        </w:rPr>
        <w:t xml:space="preserve">, but they continued to </w:t>
      </w:r>
      <w:r w:rsidRPr="00F7452C">
        <w:rPr>
          <w:rFonts w:cs="Arial"/>
          <w:bCs/>
          <w:sz w:val="24"/>
          <w:szCs w:val="24"/>
        </w:rPr>
        <w:t xml:space="preserve">experience a </w:t>
      </w:r>
      <w:r w:rsidRPr="003A0BA4">
        <w:rPr>
          <w:rFonts w:cs="Arial"/>
          <w:bCs/>
          <w:sz w:val="24"/>
          <w:szCs w:val="24"/>
        </w:rPr>
        <w:t>lower employment rate</w:t>
      </w:r>
      <w:r w:rsidRPr="00F7452C">
        <w:rPr>
          <w:rFonts w:cs="Arial"/>
          <w:bCs/>
          <w:sz w:val="24"/>
          <w:szCs w:val="24"/>
        </w:rPr>
        <w:t xml:space="preserve"> than persons without disabilities</w:t>
      </w:r>
      <w:r>
        <w:rPr>
          <w:rFonts w:cs="Arial"/>
          <w:bCs/>
          <w:sz w:val="24"/>
          <w:szCs w:val="24"/>
        </w:rPr>
        <w:t xml:space="preserve"> (78%)</w:t>
      </w:r>
      <w:r w:rsidRPr="00F7452C">
        <w:rPr>
          <w:rFonts w:cs="Arial"/>
          <w:bCs/>
          <w:sz w:val="24"/>
          <w:szCs w:val="24"/>
        </w:rPr>
        <w:t>.</w:t>
      </w:r>
      <w:r>
        <w:rPr>
          <w:rFonts w:cs="Arial"/>
          <w:bCs/>
          <w:sz w:val="24"/>
          <w:szCs w:val="24"/>
        </w:rPr>
        <w:t xml:space="preserve"> </w:t>
      </w:r>
    </w:p>
    <w:p w14:paraId="4A9A0AEF" w14:textId="2A60238E" w:rsidR="00B126AB" w:rsidRPr="00C474BA" w:rsidRDefault="00BC130E" w:rsidP="00B97455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sz w:val="24"/>
          <w:szCs w:val="24"/>
        </w:rPr>
        <w:lastRenderedPageBreak/>
        <w:t>Questions to Raise</w:t>
      </w:r>
      <w:r w:rsidR="00B97455">
        <w:rPr>
          <w:rFonts w:cs="Arial"/>
          <w:b/>
          <w:sz w:val="24"/>
          <w:szCs w:val="24"/>
        </w:rPr>
        <w:t xml:space="preserve"> </w:t>
      </w:r>
    </w:p>
    <w:p w14:paraId="0417FDB8" w14:textId="57E2BA35" w:rsidR="004B2C83" w:rsidRPr="00FA2FE2" w:rsidRDefault="004B2C83" w:rsidP="00B126AB">
      <w:pPr>
        <w:pStyle w:val="ListParagraph"/>
        <w:numPr>
          <w:ilvl w:val="0"/>
          <w:numId w:val="9"/>
        </w:numPr>
        <w:rPr>
          <w:rFonts w:cs="Arial"/>
          <w:b/>
          <w:bCs/>
          <w:sz w:val="24"/>
          <w:szCs w:val="24"/>
        </w:rPr>
      </w:pPr>
      <w:r w:rsidRPr="00FA2FE2">
        <w:rPr>
          <w:rFonts w:cs="Arial"/>
          <w:sz w:val="24"/>
          <w:szCs w:val="24"/>
        </w:rPr>
        <w:t>What impacts have been seen from the recent changes to the Temporary Foreign Worker Program and other immigration policies?</w:t>
      </w:r>
    </w:p>
    <w:p w14:paraId="11FE8755" w14:textId="77777777" w:rsidR="00E967EB" w:rsidRPr="00A5351E" w:rsidRDefault="00E967EB" w:rsidP="00E967EB">
      <w:pPr>
        <w:pStyle w:val="ListParagraph"/>
        <w:numPr>
          <w:ilvl w:val="0"/>
          <w:numId w:val="9"/>
        </w:numPr>
        <w:rPr>
          <w:rFonts w:cs="Arial"/>
          <w:b/>
          <w:bCs/>
          <w:sz w:val="24"/>
          <w:szCs w:val="24"/>
        </w:rPr>
      </w:pPr>
      <w:r>
        <w:rPr>
          <w:rFonts w:cs="Arial"/>
          <w:sz w:val="24"/>
          <w:szCs w:val="24"/>
        </w:rPr>
        <w:t>What barriers are most relevant to remove to improve labour force participation and employment amongst underrepresented groups?</w:t>
      </w:r>
    </w:p>
    <w:p w14:paraId="6AE54165" w14:textId="42746864" w:rsidR="004B2C83" w:rsidRPr="00FA2FE2" w:rsidRDefault="00E967EB" w:rsidP="00E967EB">
      <w:pPr>
        <w:pStyle w:val="ListParagraph"/>
        <w:numPr>
          <w:ilvl w:val="0"/>
          <w:numId w:val="9"/>
        </w:numPr>
        <w:rPr>
          <w:rFonts w:cs="Arial"/>
          <w:b/>
          <w:bCs/>
          <w:sz w:val="24"/>
          <w:szCs w:val="24"/>
        </w:rPr>
      </w:pPr>
      <w:r>
        <w:rPr>
          <w:rFonts w:cs="Arial"/>
          <w:sz w:val="24"/>
          <w:szCs w:val="24"/>
        </w:rPr>
        <w:t>What components of the FCR are most viable for improvement? What gaps still exist?</w:t>
      </w:r>
    </w:p>
    <w:p w14:paraId="59FFFD68" w14:textId="2795C85E" w:rsidR="00582C8E" w:rsidRPr="00FA2FE2" w:rsidRDefault="00582C8E" w:rsidP="00582C8E">
      <w:pPr>
        <w:pStyle w:val="ListParagraph"/>
        <w:numPr>
          <w:ilvl w:val="0"/>
          <w:numId w:val="9"/>
        </w:numPr>
        <w:rPr>
          <w:rFonts w:cs="Arial"/>
          <w:sz w:val="24"/>
          <w:szCs w:val="24"/>
        </w:rPr>
      </w:pPr>
      <w:r w:rsidRPr="00092C8B">
        <w:rPr>
          <w:rFonts w:cs="Arial"/>
          <w:sz w:val="24"/>
          <w:szCs w:val="24"/>
        </w:rPr>
        <w:t xml:space="preserve">How can </w:t>
      </w:r>
      <w:r w:rsidRPr="4B0262B5">
        <w:rPr>
          <w:rFonts w:cs="Arial"/>
          <w:sz w:val="24"/>
          <w:szCs w:val="24"/>
        </w:rPr>
        <w:t>First Nations, Inuit and Metis</w:t>
      </w:r>
      <w:r w:rsidRPr="00092C8B">
        <w:rPr>
          <w:rFonts w:cs="Arial"/>
          <w:sz w:val="24"/>
          <w:szCs w:val="24"/>
        </w:rPr>
        <w:t xml:space="preserve"> demographic be further </w:t>
      </w:r>
      <w:r w:rsidRPr="4B0262B5">
        <w:rPr>
          <w:rFonts w:cs="Arial"/>
          <w:sz w:val="24"/>
          <w:szCs w:val="24"/>
        </w:rPr>
        <w:t>engaged</w:t>
      </w:r>
      <w:r w:rsidRPr="00092C8B">
        <w:rPr>
          <w:rFonts w:cs="Arial"/>
          <w:sz w:val="24"/>
          <w:szCs w:val="24"/>
        </w:rPr>
        <w:t xml:space="preserve"> to close labour market gaps?</w:t>
      </w:r>
    </w:p>
    <w:p w14:paraId="37C60547" w14:textId="77777777" w:rsidR="00B52E0A" w:rsidRPr="002A12C9" w:rsidRDefault="00B52E0A" w:rsidP="00943EA3">
      <w:pPr>
        <w:rPr>
          <w:rFonts w:cs="Arial"/>
          <w:b/>
          <w:bCs/>
          <w:sz w:val="24"/>
          <w:szCs w:val="24"/>
        </w:rPr>
      </w:pPr>
    </w:p>
    <w:sectPr w:rsidR="00B52E0A" w:rsidRPr="002A12C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4660F"/>
    <w:multiLevelType w:val="hybridMultilevel"/>
    <w:tmpl w:val="1EC860F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B06859"/>
    <w:multiLevelType w:val="hybridMultilevel"/>
    <w:tmpl w:val="C34814AE"/>
    <w:lvl w:ilvl="0" w:tplc="2A7C262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B70527"/>
    <w:multiLevelType w:val="hybridMultilevel"/>
    <w:tmpl w:val="D7BE574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92475"/>
    <w:multiLevelType w:val="hybridMultilevel"/>
    <w:tmpl w:val="9094033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06F49"/>
    <w:multiLevelType w:val="hybridMultilevel"/>
    <w:tmpl w:val="09208D9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BF17C3"/>
    <w:multiLevelType w:val="hybridMultilevel"/>
    <w:tmpl w:val="7548CFD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584A73"/>
    <w:multiLevelType w:val="hybridMultilevel"/>
    <w:tmpl w:val="6F1E735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BD307D"/>
    <w:multiLevelType w:val="hybridMultilevel"/>
    <w:tmpl w:val="EC0AF5A6"/>
    <w:lvl w:ilvl="0" w:tplc="CD40C4EE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8" w15:restartNumberingAfterBreak="0">
    <w:nsid w:val="3FD4587D"/>
    <w:multiLevelType w:val="hybridMultilevel"/>
    <w:tmpl w:val="50BA623C"/>
    <w:lvl w:ilvl="0" w:tplc="36AA77F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9A6859"/>
    <w:multiLevelType w:val="hybridMultilevel"/>
    <w:tmpl w:val="EE5CED7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D2392B"/>
    <w:multiLevelType w:val="hybridMultilevel"/>
    <w:tmpl w:val="CE1479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FE533B"/>
    <w:multiLevelType w:val="hybridMultilevel"/>
    <w:tmpl w:val="3C3C17FC"/>
    <w:lvl w:ilvl="0" w:tplc="2A7C262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41048D"/>
    <w:multiLevelType w:val="hybridMultilevel"/>
    <w:tmpl w:val="89CCD80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8E4E9F"/>
    <w:multiLevelType w:val="hybridMultilevel"/>
    <w:tmpl w:val="000ACF7C"/>
    <w:lvl w:ilvl="0" w:tplc="7A9E869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DD0535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D427F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81AE4F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9EC62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FBCAF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F9ED94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7F0B3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03CFF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num w:numId="1" w16cid:durableId="2035155401">
    <w:abstractNumId w:val="4"/>
  </w:num>
  <w:num w:numId="2" w16cid:durableId="1325475036">
    <w:abstractNumId w:val="9"/>
  </w:num>
  <w:num w:numId="3" w16cid:durableId="1993025726">
    <w:abstractNumId w:val="5"/>
  </w:num>
  <w:num w:numId="4" w16cid:durableId="1267154714">
    <w:abstractNumId w:val="2"/>
  </w:num>
  <w:num w:numId="5" w16cid:durableId="1187711969">
    <w:abstractNumId w:val="12"/>
  </w:num>
  <w:num w:numId="6" w16cid:durableId="401106253">
    <w:abstractNumId w:val="13"/>
  </w:num>
  <w:num w:numId="7" w16cid:durableId="1526751850">
    <w:abstractNumId w:val="3"/>
  </w:num>
  <w:num w:numId="8" w16cid:durableId="211889085">
    <w:abstractNumId w:val="6"/>
  </w:num>
  <w:num w:numId="9" w16cid:durableId="228539412">
    <w:abstractNumId w:val="0"/>
  </w:num>
  <w:num w:numId="10" w16cid:durableId="650520186">
    <w:abstractNumId w:val="10"/>
  </w:num>
  <w:num w:numId="11" w16cid:durableId="1701390661">
    <w:abstractNumId w:val="6"/>
  </w:num>
  <w:num w:numId="12" w16cid:durableId="1072696292">
    <w:abstractNumId w:val="6"/>
  </w:num>
  <w:num w:numId="13" w16cid:durableId="1762217663">
    <w:abstractNumId w:val="7"/>
  </w:num>
  <w:num w:numId="14" w16cid:durableId="794061331">
    <w:abstractNumId w:val="8"/>
  </w:num>
  <w:num w:numId="15" w16cid:durableId="1981108721">
    <w:abstractNumId w:val="1"/>
  </w:num>
  <w:num w:numId="16" w16cid:durableId="1089736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EA3"/>
    <w:rsid w:val="00002D44"/>
    <w:rsid w:val="00023772"/>
    <w:rsid w:val="00036660"/>
    <w:rsid w:val="00042024"/>
    <w:rsid w:val="0006448C"/>
    <w:rsid w:val="00073130"/>
    <w:rsid w:val="000810C5"/>
    <w:rsid w:val="00086741"/>
    <w:rsid w:val="000A0824"/>
    <w:rsid w:val="000A53A4"/>
    <w:rsid w:val="000B6904"/>
    <w:rsid w:val="000B7247"/>
    <w:rsid w:val="000C1C5E"/>
    <w:rsid w:val="000D2A80"/>
    <w:rsid w:val="000D68BC"/>
    <w:rsid w:val="000D7255"/>
    <w:rsid w:val="000E3CE9"/>
    <w:rsid w:val="000F31EE"/>
    <w:rsid w:val="0011112A"/>
    <w:rsid w:val="00115E09"/>
    <w:rsid w:val="00132BE2"/>
    <w:rsid w:val="001611C4"/>
    <w:rsid w:val="00164E9C"/>
    <w:rsid w:val="0016758C"/>
    <w:rsid w:val="00181E9E"/>
    <w:rsid w:val="00182AA6"/>
    <w:rsid w:val="0019428B"/>
    <w:rsid w:val="00194295"/>
    <w:rsid w:val="001A3F97"/>
    <w:rsid w:val="001D76A0"/>
    <w:rsid w:val="001E3D06"/>
    <w:rsid w:val="001F5FE5"/>
    <w:rsid w:val="00201885"/>
    <w:rsid w:val="00213CEC"/>
    <w:rsid w:val="0022783A"/>
    <w:rsid w:val="0024436A"/>
    <w:rsid w:val="00257D89"/>
    <w:rsid w:val="00264AC7"/>
    <w:rsid w:val="00272D9B"/>
    <w:rsid w:val="00284AFF"/>
    <w:rsid w:val="00285876"/>
    <w:rsid w:val="00294CD7"/>
    <w:rsid w:val="002974FE"/>
    <w:rsid w:val="002A12C9"/>
    <w:rsid w:val="002A1E78"/>
    <w:rsid w:val="002A7711"/>
    <w:rsid w:val="002B5D79"/>
    <w:rsid w:val="00304153"/>
    <w:rsid w:val="00361438"/>
    <w:rsid w:val="00384B8E"/>
    <w:rsid w:val="003937B0"/>
    <w:rsid w:val="003B2691"/>
    <w:rsid w:val="003C40CA"/>
    <w:rsid w:val="003D58F3"/>
    <w:rsid w:val="003F0722"/>
    <w:rsid w:val="004343A5"/>
    <w:rsid w:val="00463011"/>
    <w:rsid w:val="0048370C"/>
    <w:rsid w:val="0048379A"/>
    <w:rsid w:val="00492FF4"/>
    <w:rsid w:val="004939F7"/>
    <w:rsid w:val="004A0A93"/>
    <w:rsid w:val="004A266D"/>
    <w:rsid w:val="004B2C83"/>
    <w:rsid w:val="004C62CD"/>
    <w:rsid w:val="004C77B2"/>
    <w:rsid w:val="004D4846"/>
    <w:rsid w:val="004D5F47"/>
    <w:rsid w:val="004D7A69"/>
    <w:rsid w:val="004E59FF"/>
    <w:rsid w:val="004F2D71"/>
    <w:rsid w:val="00527CE4"/>
    <w:rsid w:val="005415CC"/>
    <w:rsid w:val="00554137"/>
    <w:rsid w:val="00555CEF"/>
    <w:rsid w:val="0056621F"/>
    <w:rsid w:val="00582C8E"/>
    <w:rsid w:val="00582FCC"/>
    <w:rsid w:val="00596125"/>
    <w:rsid w:val="005B53EF"/>
    <w:rsid w:val="005D6DBB"/>
    <w:rsid w:val="005E1EF2"/>
    <w:rsid w:val="005E7BC4"/>
    <w:rsid w:val="006019DD"/>
    <w:rsid w:val="00622100"/>
    <w:rsid w:val="006437B5"/>
    <w:rsid w:val="00667D87"/>
    <w:rsid w:val="00675BC5"/>
    <w:rsid w:val="006A5398"/>
    <w:rsid w:val="006B591B"/>
    <w:rsid w:val="006B6450"/>
    <w:rsid w:val="006C1520"/>
    <w:rsid w:val="006C3A34"/>
    <w:rsid w:val="006C51E4"/>
    <w:rsid w:val="006D7243"/>
    <w:rsid w:val="006F0159"/>
    <w:rsid w:val="006F0E8A"/>
    <w:rsid w:val="006F7ACE"/>
    <w:rsid w:val="0070048C"/>
    <w:rsid w:val="00701388"/>
    <w:rsid w:val="00701736"/>
    <w:rsid w:val="00703C4E"/>
    <w:rsid w:val="007112D2"/>
    <w:rsid w:val="0071425A"/>
    <w:rsid w:val="007412E0"/>
    <w:rsid w:val="007568E2"/>
    <w:rsid w:val="007576C9"/>
    <w:rsid w:val="0076354D"/>
    <w:rsid w:val="00771497"/>
    <w:rsid w:val="007A667C"/>
    <w:rsid w:val="007B491A"/>
    <w:rsid w:val="007B4D92"/>
    <w:rsid w:val="007F2092"/>
    <w:rsid w:val="00800CE7"/>
    <w:rsid w:val="0081647E"/>
    <w:rsid w:val="008213EE"/>
    <w:rsid w:val="00837A36"/>
    <w:rsid w:val="00847E1B"/>
    <w:rsid w:val="0085337F"/>
    <w:rsid w:val="00867E7C"/>
    <w:rsid w:val="008720BD"/>
    <w:rsid w:val="00885C7C"/>
    <w:rsid w:val="008A4397"/>
    <w:rsid w:val="008B12C7"/>
    <w:rsid w:val="008B7D09"/>
    <w:rsid w:val="008C0E5D"/>
    <w:rsid w:val="008C1926"/>
    <w:rsid w:val="00943EA3"/>
    <w:rsid w:val="009740D5"/>
    <w:rsid w:val="00976DA6"/>
    <w:rsid w:val="009959E0"/>
    <w:rsid w:val="009A6EB6"/>
    <w:rsid w:val="009C337C"/>
    <w:rsid w:val="009E0D0C"/>
    <w:rsid w:val="00A10D05"/>
    <w:rsid w:val="00A14F93"/>
    <w:rsid w:val="00A224E6"/>
    <w:rsid w:val="00A22CC0"/>
    <w:rsid w:val="00A24215"/>
    <w:rsid w:val="00A2676C"/>
    <w:rsid w:val="00A33B87"/>
    <w:rsid w:val="00A34EB0"/>
    <w:rsid w:val="00A43DD1"/>
    <w:rsid w:val="00A461CA"/>
    <w:rsid w:val="00A67C07"/>
    <w:rsid w:val="00A743F6"/>
    <w:rsid w:val="00A93449"/>
    <w:rsid w:val="00AA12A5"/>
    <w:rsid w:val="00AC7287"/>
    <w:rsid w:val="00AD0A5D"/>
    <w:rsid w:val="00AE2B68"/>
    <w:rsid w:val="00AF594D"/>
    <w:rsid w:val="00B04D57"/>
    <w:rsid w:val="00B11BF5"/>
    <w:rsid w:val="00B126AB"/>
    <w:rsid w:val="00B16051"/>
    <w:rsid w:val="00B25287"/>
    <w:rsid w:val="00B52E0A"/>
    <w:rsid w:val="00B557E5"/>
    <w:rsid w:val="00B606D4"/>
    <w:rsid w:val="00B738FC"/>
    <w:rsid w:val="00B97455"/>
    <w:rsid w:val="00BC0F18"/>
    <w:rsid w:val="00BC130E"/>
    <w:rsid w:val="00BD3D0A"/>
    <w:rsid w:val="00BE1991"/>
    <w:rsid w:val="00C07778"/>
    <w:rsid w:val="00C15015"/>
    <w:rsid w:val="00C2220A"/>
    <w:rsid w:val="00C27E19"/>
    <w:rsid w:val="00C47166"/>
    <w:rsid w:val="00C474BA"/>
    <w:rsid w:val="00C50B32"/>
    <w:rsid w:val="00C557EC"/>
    <w:rsid w:val="00C561A1"/>
    <w:rsid w:val="00C71281"/>
    <w:rsid w:val="00C847A1"/>
    <w:rsid w:val="00C87A6A"/>
    <w:rsid w:val="00C914AD"/>
    <w:rsid w:val="00CD4270"/>
    <w:rsid w:val="00CD48A1"/>
    <w:rsid w:val="00D00897"/>
    <w:rsid w:val="00D1382E"/>
    <w:rsid w:val="00D2264A"/>
    <w:rsid w:val="00D260BB"/>
    <w:rsid w:val="00D47EA4"/>
    <w:rsid w:val="00D5173D"/>
    <w:rsid w:val="00D66334"/>
    <w:rsid w:val="00D7168E"/>
    <w:rsid w:val="00D814CB"/>
    <w:rsid w:val="00D842E4"/>
    <w:rsid w:val="00DA0F95"/>
    <w:rsid w:val="00DB30A5"/>
    <w:rsid w:val="00DB37F1"/>
    <w:rsid w:val="00DC52E1"/>
    <w:rsid w:val="00DD1FA6"/>
    <w:rsid w:val="00DF6C47"/>
    <w:rsid w:val="00DF6F35"/>
    <w:rsid w:val="00E13C0F"/>
    <w:rsid w:val="00E24E00"/>
    <w:rsid w:val="00E404DC"/>
    <w:rsid w:val="00E4069B"/>
    <w:rsid w:val="00E50183"/>
    <w:rsid w:val="00E577C1"/>
    <w:rsid w:val="00E72BC1"/>
    <w:rsid w:val="00E75F81"/>
    <w:rsid w:val="00E8598A"/>
    <w:rsid w:val="00E967EB"/>
    <w:rsid w:val="00EB44DF"/>
    <w:rsid w:val="00EB5482"/>
    <w:rsid w:val="00EC1468"/>
    <w:rsid w:val="00EC4B17"/>
    <w:rsid w:val="00ED51D6"/>
    <w:rsid w:val="00EE206F"/>
    <w:rsid w:val="00EF0E95"/>
    <w:rsid w:val="00EF151D"/>
    <w:rsid w:val="00F147FD"/>
    <w:rsid w:val="00F44C0E"/>
    <w:rsid w:val="00F4636A"/>
    <w:rsid w:val="00F870A5"/>
    <w:rsid w:val="00FA2FE2"/>
    <w:rsid w:val="00FE700D"/>
    <w:rsid w:val="00FF3F33"/>
    <w:rsid w:val="00FF4892"/>
    <w:rsid w:val="32CB8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9AF100"/>
  <w15:chartTrackingRefBased/>
  <w15:docId w15:val="{69114B55-9C00-4332-BE76-A9FE943F8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3EA3"/>
    <w:rPr>
      <w:rFonts w:ascii="Arial" w:hAnsi="Ari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C0E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table bullets,bullet,bulllet,Bullet List - spacing,Liste 1,List Paragraph1,Recommendation,List Paragraph11,L,List Paragraph2,CV text,Table text,F5 List Paragraph,Dot pt,List Paragraph111,Medium Grid 1 - Accent 21,Numbered Paragraph,Bullet"/>
    <w:basedOn w:val="Normal"/>
    <w:link w:val="ListParagraphChar"/>
    <w:qFormat/>
    <w:rsid w:val="00943EA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942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9428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9428B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42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428B"/>
    <w:rPr>
      <w:rFonts w:ascii="Arial" w:hAnsi="Aria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740D5"/>
    <w:pPr>
      <w:spacing w:after="0" w:line="240" w:lineRule="auto"/>
    </w:pPr>
    <w:rPr>
      <w:rFonts w:ascii="Arial" w:hAnsi="Arial"/>
    </w:rPr>
  </w:style>
  <w:style w:type="character" w:customStyle="1" w:styleId="Heading3Char">
    <w:name w:val="Heading 3 Char"/>
    <w:basedOn w:val="DefaultParagraphFont"/>
    <w:link w:val="Heading3"/>
    <w:uiPriority w:val="9"/>
    <w:rsid w:val="008C0E5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ormaltextrun">
    <w:name w:val="normaltextrun"/>
    <w:basedOn w:val="DefaultParagraphFont"/>
    <w:rsid w:val="008C0E5D"/>
  </w:style>
  <w:style w:type="character" w:customStyle="1" w:styleId="eop">
    <w:name w:val="eop"/>
    <w:basedOn w:val="DefaultParagraphFont"/>
    <w:rsid w:val="008C0E5D"/>
  </w:style>
  <w:style w:type="character" w:customStyle="1" w:styleId="ListParagraphChar">
    <w:name w:val="List Paragraph Char"/>
    <w:aliases w:val="table bullets Char,bullet Char,bulllet Char,Bullet List - spacing Char,Liste 1 Char,List Paragraph1 Char,Recommendation Char,List Paragraph11 Char,L Char,List Paragraph2 Char,CV text Char,Table text Char,F5 List Paragraph Char"/>
    <w:basedOn w:val="DefaultParagraphFont"/>
    <w:link w:val="ListParagraph"/>
    <w:uiPriority w:val="34"/>
    <w:qFormat/>
    <w:locked/>
    <w:rsid w:val="0022783A"/>
    <w:rPr>
      <w:rFonts w:ascii="Arial" w:hAnsi="Arial"/>
    </w:rPr>
  </w:style>
  <w:style w:type="character" w:customStyle="1" w:styleId="ui-provider">
    <w:name w:val="ui-provider"/>
    <w:basedOn w:val="DefaultParagraphFont"/>
    <w:rsid w:val="00E577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76aaf80-9812-406c-9dd3-ccb851cf3a75" xsi:nil="true"/>
    <lcf76f155ced4ddcb4097134ff3c332f xmlns="bec98ab0-c939-49a1-bdf8-a824b6abe8d9">
      <Terms xmlns="http://schemas.microsoft.com/office/infopath/2007/PartnerControls"/>
    </lcf76f155ced4ddcb4097134ff3c332f>
    <_dlc_DocId xmlns="4737b361-35a6-4908-86d4-6df482422a04">XPJTHXDMYTKC-1148532594-23788</_dlc_DocId>
    <_dlc_DocIdUrl xmlns="4737b361-35a6-4908-86d4-6df482422a04">
      <Url>https://014gc.sharepoint.com/sites/LO_PartieVII-PartVII_OL/_layouts/15/DocIdRedir.aspx?ID=XPJTHXDMYTKC-1148532594-23788</Url>
      <Description>XPJTHXDMYTKC-1148532594-23788</Description>
    </_dlc_DocIdUrl>
    <Finalis_x00e9_ xmlns="bec98ab0-c939-49a1-bdf8-a824b6abe8d9">false</Finalis_x00e9_>
    <EMail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26B225F5EF9546AB64A814EA414F3D" ma:contentTypeVersion="21" ma:contentTypeDescription="Create a new document." ma:contentTypeScope="" ma:versionID="189cc107e350e33474a34e3b54e56d39">
  <xsd:schema xmlns:xsd="http://www.w3.org/2001/XMLSchema" xmlns:xs="http://www.w3.org/2001/XMLSchema" xmlns:p="http://schemas.microsoft.com/office/2006/metadata/properties" xmlns:ns1="http://schemas.microsoft.com/sharepoint/v3" xmlns:ns2="4737b361-35a6-4908-86d4-6df482422a04" xmlns:ns3="bec98ab0-c939-49a1-bdf8-a824b6abe8d9" xmlns:ns4="f76aaf80-9812-406c-9dd3-ccb851cf3a75" targetNamespace="http://schemas.microsoft.com/office/2006/metadata/properties" ma:root="true" ma:fieldsID="ca166eac10b86210223c38d55f5163e5" ns1:_="" ns2:_="" ns3:_="" ns4:_="">
    <xsd:import namespace="http://schemas.microsoft.com/sharepoint/v3"/>
    <xsd:import namespace="4737b361-35a6-4908-86d4-6df482422a04"/>
    <xsd:import namespace="bec98ab0-c939-49a1-bdf8-a824b6abe8d9"/>
    <xsd:import namespace="f76aaf80-9812-406c-9dd3-ccb851cf3a75"/>
    <xsd:element name="properties">
      <xsd:complexType>
        <xsd:sequence>
          <xsd:element name="documentManagement">
            <xsd:complexType>
              <xsd:all>
                <xsd:element ref="ns1:EMail" minOccurs="0"/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4:TaxCatchAll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SearchProperties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Finalis_x00e9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" ma:index="0" nillable="true" ma:displayName="E-Mail" ma:internalName="EMail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37b361-35a6-4908-86d4-6df482422a04" elementFormDefault="qualified">
    <xsd:import namespace="http://schemas.microsoft.com/office/2006/documentManagement/types"/>
    <xsd:import namespace="http://schemas.microsoft.com/office/infopath/2007/PartnerControls"/>
    <xsd:element name="_dlc_DocId" ma:index="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7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98ab0-c939-49a1-bdf8-a824b6abe8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3fa6f064-5af2-4239-ab23-685642d595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Finalis_x00e9_" ma:index="27" nillable="true" ma:displayName="Finalisé" ma:default="0" ma:description="État du dossier" ma:format="Dropdown" ma:internalName="Finalis_x00e9_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6aaf80-9812-406c-9dd3-ccb851cf3a75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4ace3c91-7c3a-4b80-b801-984d3ae42ca9}" ma:internalName="TaxCatchAll" ma:showField="CatchAllData" ma:web="4737b361-35a6-4908-86d4-6df482422a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886F90-1529-4AC1-A596-7387696E4972}">
  <ds:schemaRefs>
    <ds:schemaRef ds:uri="http://schemas.microsoft.com/office/2006/metadata/properties"/>
    <ds:schemaRef ds:uri="f76aaf80-9812-406c-9dd3-ccb851cf3a75"/>
    <ds:schemaRef ds:uri="http://www.w3.org/XML/1998/namespace"/>
    <ds:schemaRef ds:uri="aeb8e935-a900-45fb-8c93-8f8eb0bf36f7"/>
    <ds:schemaRef ds:uri="http://purl.org/dc/terms/"/>
    <ds:schemaRef ds:uri="http://purl.org/dc/dcmitype/"/>
    <ds:schemaRef ds:uri="0ce84bba-fcca-4011-a340-4fc04f4941dc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A8D99E3-DE85-4644-B7AE-D18146285C04}"/>
</file>

<file path=customXml/itemProps3.xml><?xml version="1.0" encoding="utf-8"?>
<ds:datastoreItem xmlns:ds="http://schemas.openxmlformats.org/officeDocument/2006/customXml" ds:itemID="{24A99FD5-140C-44FB-BA17-9BC287B6345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4331BA6-5F29-4B74-B94F-B542D6DEAC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680</Words>
  <Characters>3879</Characters>
  <Application>Microsoft Office Word</Application>
  <DocSecurity>0</DocSecurity>
  <Lines>32</Lines>
  <Paragraphs>9</Paragraphs>
  <ScaleCrop>false</ScaleCrop>
  <Company>Gouvernement du Canada - Government of Canada</Company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Johnston, Connor C [NC]</dc:creator>
  <cp:keywords/>
  <dc:description/>
  <cp:lastModifiedBy>Johnston, Connor C [NC]</cp:lastModifiedBy>
  <cp:revision>127</cp:revision>
  <dcterms:created xsi:type="dcterms:W3CDTF">2024-09-10T22:52:00Z</dcterms:created>
  <dcterms:modified xsi:type="dcterms:W3CDTF">2024-10-08T21:43:00Z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0x0101002126B225F5EF9546AB64A814EA414F3D</vt:lpwstr>
  </property>
  <property fmtid="{D5CDD505-2E9C-101B-9397-08002B2CF9AE}" pid="3" name="_dlc_DocIdItemGuid">
    <vt:lpwstr>8af05bfb-f324-40ea-8533-e7a3ff8e59cd</vt:lpwstr>
  </property>
  <property fmtid="{D5CDD505-2E9C-101B-9397-08002B2CF9AE}" pid="4" name="MediaServiceImageTags">
    <vt:lpwstr/>
  </property>
</Properties>
</file>